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60" w:lineRule="exact"/>
        <w:rPr>
          <w:rFonts w:ascii="黑体" w:hAnsi="黑体" w:eastAsia="黑体" w:cs="Times New Roman"/>
          <w:color w:val="000000"/>
          <w:sz w:val="32"/>
          <w:szCs w:val="32"/>
        </w:rPr>
      </w:pPr>
      <w:r>
        <w:rPr>
          <w:rFonts w:hint="eastAsia" w:ascii="黑体" w:hAnsi="黑体" w:eastAsia="黑体" w:cs="Times New Roman"/>
          <w:color w:val="000000"/>
          <w:sz w:val="32"/>
          <w:szCs w:val="32"/>
        </w:rPr>
        <w:t>附 件</w:t>
      </w:r>
    </w:p>
    <w:p>
      <w:pPr>
        <w:spacing w:line="560" w:lineRule="exact"/>
        <w:rPr>
          <w:rFonts w:ascii="黑体" w:hAnsi="黑体" w:eastAsia="黑体" w:cs="Times New Roman"/>
          <w:color w:val="000000"/>
          <w:sz w:val="32"/>
          <w:szCs w:val="32"/>
        </w:rPr>
      </w:pPr>
    </w:p>
    <w:p>
      <w:pPr>
        <w:tabs>
          <w:tab w:val="left" w:pos="3855"/>
        </w:tabs>
        <w:spacing w:line="760" w:lineRule="exact"/>
        <w:ind w:right="318"/>
        <w:jc w:val="center"/>
        <w:rPr>
          <w:rFonts w:ascii="方正小标宋简体" w:hAnsi="华文中宋" w:eastAsia="方正小标宋简体" w:cs="Times New Roman"/>
          <w:color w:val="000000"/>
          <w:sz w:val="44"/>
          <w:szCs w:val="44"/>
        </w:rPr>
      </w:pPr>
      <w:r>
        <w:rPr>
          <w:rFonts w:hint="eastAsia" w:ascii="方正小标宋简体" w:hAnsi="华文中宋" w:eastAsia="方正小标宋简体" w:cs="Times New Roman"/>
          <w:color w:val="000000"/>
          <w:sz w:val="44"/>
          <w:szCs w:val="44"/>
        </w:rPr>
        <w:t>第二十一届中国专利奖我省获奖项目奖励资金</w:t>
      </w:r>
    </w:p>
    <w:p>
      <w:pPr>
        <w:tabs>
          <w:tab w:val="left" w:pos="3855"/>
        </w:tabs>
        <w:spacing w:beforeLines="50" w:line="360" w:lineRule="exact"/>
        <w:ind w:right="318"/>
        <w:jc w:val="center"/>
        <w:rPr>
          <w:rFonts w:ascii="方正小标宋简体" w:hAnsi="华文中宋" w:eastAsia="方正小标宋简体" w:cs="Times New Roman"/>
          <w:color w:val="000000"/>
          <w:sz w:val="44"/>
          <w:szCs w:val="44"/>
        </w:rPr>
      </w:pPr>
    </w:p>
    <w:tbl>
      <w:tblPr>
        <w:tblW w:w="11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20"/>
        <w:gridCol w:w="3973"/>
        <w:gridCol w:w="3737"/>
        <w:gridCol w:w="1276"/>
        <w:gridCol w:w="2135"/>
      </w:tblGrid>
      <w:tr>
        <w:trPr>
          <w:trHeight w:val="705"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b/>
                <w:bCs/>
                <w:color w:val="000000"/>
                <w:kern w:val="0"/>
                <w:sz w:val="22"/>
              </w:rPr>
            </w:pPr>
            <w:r>
              <w:rPr>
                <w:rFonts w:hint="eastAsia" w:ascii="仿宋" w:hAnsi="仿宋" w:eastAsia="仿宋" w:cs="宋体"/>
                <w:b/>
                <w:bCs/>
                <w:color w:val="000000"/>
                <w:kern w:val="0"/>
                <w:sz w:val="22"/>
              </w:rPr>
              <w:t>序号</w:t>
            </w:r>
          </w:p>
        </w:tc>
        <w:tc>
          <w:tcPr>
            <w:tcW w:w="397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b/>
                <w:bCs/>
                <w:color w:val="000000"/>
                <w:kern w:val="0"/>
                <w:sz w:val="22"/>
              </w:rPr>
            </w:pPr>
            <w:r>
              <w:rPr>
                <w:rFonts w:hint="eastAsia" w:ascii="仿宋" w:hAnsi="仿宋" w:eastAsia="仿宋" w:cs="宋体"/>
                <w:b/>
                <w:bCs/>
                <w:color w:val="000000"/>
                <w:kern w:val="0"/>
                <w:sz w:val="22"/>
              </w:rPr>
              <w:t>项目名称</w:t>
            </w:r>
          </w:p>
        </w:tc>
        <w:tc>
          <w:tcPr>
            <w:tcW w:w="3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b/>
                <w:bCs/>
                <w:color w:val="000000"/>
                <w:kern w:val="0"/>
                <w:sz w:val="22"/>
              </w:rPr>
            </w:pPr>
            <w:r>
              <w:rPr>
                <w:rFonts w:hint="eastAsia" w:ascii="仿宋" w:hAnsi="仿宋" w:eastAsia="仿宋" w:cs="宋体"/>
                <w:b/>
                <w:bCs/>
                <w:color w:val="000000"/>
                <w:kern w:val="0"/>
                <w:sz w:val="22"/>
              </w:rPr>
              <w:t>承担单位</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b/>
                <w:bCs/>
                <w:color w:val="000000"/>
                <w:kern w:val="0"/>
                <w:sz w:val="22"/>
              </w:rPr>
            </w:pPr>
            <w:r>
              <w:rPr>
                <w:rFonts w:hint="eastAsia" w:ascii="仿宋" w:hAnsi="仿宋" w:eastAsia="仿宋" w:cs="宋体"/>
                <w:b/>
                <w:bCs/>
                <w:color w:val="000000"/>
                <w:kern w:val="0"/>
                <w:sz w:val="22"/>
              </w:rPr>
              <w:t>金额</w:t>
            </w:r>
          </w:p>
          <w:p>
            <w:pPr>
              <w:widowControl/>
              <w:jc w:val="center"/>
              <w:rPr>
                <w:rFonts w:ascii="仿宋" w:hAnsi="仿宋" w:eastAsia="仿宋" w:cs="宋体"/>
                <w:b/>
                <w:bCs/>
                <w:color w:val="000000"/>
                <w:kern w:val="0"/>
                <w:sz w:val="22"/>
              </w:rPr>
            </w:pPr>
            <w:r>
              <w:rPr>
                <w:rFonts w:hint="eastAsia" w:ascii="仿宋" w:hAnsi="仿宋" w:eastAsia="仿宋" w:cs="宋体"/>
                <w:b/>
                <w:bCs/>
                <w:color w:val="000000"/>
                <w:kern w:val="0"/>
                <w:sz w:val="22"/>
              </w:rPr>
              <w:t>（万元）</w:t>
            </w:r>
          </w:p>
        </w:tc>
        <w:tc>
          <w:tcPr>
            <w:tcW w:w="213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b/>
                <w:bCs/>
                <w:color w:val="000000"/>
                <w:kern w:val="0"/>
                <w:sz w:val="22"/>
              </w:rPr>
            </w:pPr>
            <w:r>
              <w:rPr>
                <w:rFonts w:hint="eastAsia" w:ascii="仿宋" w:hAnsi="仿宋" w:eastAsia="仿宋" w:cs="宋体"/>
                <w:b/>
                <w:bCs/>
                <w:color w:val="000000"/>
                <w:kern w:val="0"/>
                <w:sz w:val="22"/>
              </w:rPr>
              <w:t>备注</w:t>
            </w:r>
          </w:p>
        </w:tc>
      </w:tr>
      <w:tr>
        <w:trPr>
          <w:trHeight w:val="690"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1</w:t>
            </w:r>
          </w:p>
        </w:tc>
        <w:tc>
          <w:tcPr>
            <w:tcW w:w="3973"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一种液晶玻璃基板的生产方法</w:t>
            </w:r>
          </w:p>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(ZL201610390360.6)</w:t>
            </w:r>
          </w:p>
        </w:tc>
        <w:tc>
          <w:tcPr>
            <w:tcW w:w="3737"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郑州旭飞光电科技有限公司</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100</w:t>
            </w:r>
          </w:p>
        </w:tc>
        <w:tc>
          <w:tcPr>
            <w:tcW w:w="213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专利金奖</w:t>
            </w:r>
          </w:p>
        </w:tc>
      </w:tr>
      <w:tr>
        <w:trPr>
          <w:trHeight w:val="690"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2</w:t>
            </w:r>
          </w:p>
        </w:tc>
        <w:tc>
          <w:tcPr>
            <w:tcW w:w="3973"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隧道联络通道用盾构机及其联络通道掘进方法(ZL201610975537.9)</w:t>
            </w:r>
          </w:p>
        </w:tc>
        <w:tc>
          <w:tcPr>
            <w:tcW w:w="3737"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中铁工程装备集团有限公司</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100</w:t>
            </w:r>
          </w:p>
        </w:tc>
        <w:tc>
          <w:tcPr>
            <w:tcW w:w="213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专利金奖</w:t>
            </w:r>
          </w:p>
        </w:tc>
      </w:tr>
      <w:tr>
        <w:trPr>
          <w:trHeight w:val="690"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3</w:t>
            </w:r>
          </w:p>
        </w:tc>
        <w:tc>
          <w:tcPr>
            <w:tcW w:w="3973"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一种双源无轨电车及其动力系统(ZL201410263864.2)</w:t>
            </w:r>
          </w:p>
        </w:tc>
        <w:tc>
          <w:tcPr>
            <w:tcW w:w="3737"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郑州宇通客车股份有限公司</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10</w:t>
            </w:r>
          </w:p>
        </w:tc>
        <w:tc>
          <w:tcPr>
            <w:tcW w:w="213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专利优秀奖</w:t>
            </w:r>
          </w:p>
        </w:tc>
      </w:tr>
      <w:tr>
        <w:trPr>
          <w:trHeight w:val="690"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4</w:t>
            </w:r>
          </w:p>
        </w:tc>
        <w:tc>
          <w:tcPr>
            <w:tcW w:w="3973"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断路器断口传动装置和使用该断口传动装置的断路器(ZL201510371171.X)</w:t>
            </w:r>
          </w:p>
        </w:tc>
        <w:tc>
          <w:tcPr>
            <w:tcW w:w="3737"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平高集团有限公司</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10</w:t>
            </w:r>
          </w:p>
        </w:tc>
        <w:tc>
          <w:tcPr>
            <w:tcW w:w="213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专利优秀奖</w:t>
            </w:r>
          </w:p>
        </w:tc>
      </w:tr>
      <w:tr>
        <w:trPr>
          <w:trHeight w:val="690"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5</w:t>
            </w:r>
          </w:p>
        </w:tc>
        <w:tc>
          <w:tcPr>
            <w:tcW w:w="3973"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一种无排放的无烟煤分段热解分质利用方法及装置(ZL201410212243.1)</w:t>
            </w:r>
          </w:p>
        </w:tc>
        <w:tc>
          <w:tcPr>
            <w:tcW w:w="3737"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河南顺达新能源科技有限公司</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10</w:t>
            </w:r>
          </w:p>
        </w:tc>
        <w:tc>
          <w:tcPr>
            <w:tcW w:w="213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专利优秀奖</w:t>
            </w:r>
          </w:p>
        </w:tc>
      </w:tr>
      <w:tr>
        <w:trPr>
          <w:trHeight w:val="841"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6</w:t>
            </w:r>
          </w:p>
        </w:tc>
        <w:tc>
          <w:tcPr>
            <w:tcW w:w="3973"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吊顶式空调内机系统(ZL201310646597.2)</w:t>
            </w:r>
          </w:p>
        </w:tc>
        <w:tc>
          <w:tcPr>
            <w:tcW w:w="3737"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格力电器（郑州）有限公司</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10</w:t>
            </w:r>
          </w:p>
        </w:tc>
        <w:tc>
          <w:tcPr>
            <w:tcW w:w="213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专利优秀奖</w:t>
            </w:r>
          </w:p>
        </w:tc>
      </w:tr>
      <w:tr>
        <w:trPr>
          <w:trHeight w:val="900"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7</w:t>
            </w:r>
          </w:p>
        </w:tc>
        <w:tc>
          <w:tcPr>
            <w:tcW w:w="3973"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管道用气体保护焊式内焊机(ZL201580003001.4)</w:t>
            </w:r>
          </w:p>
        </w:tc>
        <w:tc>
          <w:tcPr>
            <w:tcW w:w="3737"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洛阳德平科技股份有限公司</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10</w:t>
            </w:r>
          </w:p>
        </w:tc>
        <w:tc>
          <w:tcPr>
            <w:tcW w:w="213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专利优秀奖</w:t>
            </w:r>
          </w:p>
        </w:tc>
      </w:tr>
      <w:tr>
        <w:trPr>
          <w:trHeight w:val="983"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8</w:t>
            </w:r>
          </w:p>
        </w:tc>
        <w:tc>
          <w:tcPr>
            <w:tcW w:w="3973"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用于全自动化学发光仪的三维取样机构(ZL201611101625.2)</w:t>
            </w:r>
          </w:p>
        </w:tc>
        <w:tc>
          <w:tcPr>
            <w:tcW w:w="3737"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安图实验仪器（郑州）有限公司</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10</w:t>
            </w:r>
          </w:p>
        </w:tc>
        <w:tc>
          <w:tcPr>
            <w:tcW w:w="213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专利优秀奖</w:t>
            </w:r>
          </w:p>
        </w:tc>
      </w:tr>
      <w:tr>
        <w:trPr>
          <w:trHeight w:val="690"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9</w:t>
            </w:r>
          </w:p>
        </w:tc>
        <w:tc>
          <w:tcPr>
            <w:tcW w:w="3973"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一种新能源汽车及其两种动力控制方法(ZL201510969878.0)</w:t>
            </w:r>
          </w:p>
        </w:tc>
        <w:tc>
          <w:tcPr>
            <w:tcW w:w="3737"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郑州宇通客车股份有限公司</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10</w:t>
            </w:r>
          </w:p>
        </w:tc>
        <w:tc>
          <w:tcPr>
            <w:tcW w:w="213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专利优秀奖</w:t>
            </w:r>
          </w:p>
        </w:tc>
      </w:tr>
      <w:tr>
        <w:trPr>
          <w:trHeight w:val="690"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10</w:t>
            </w:r>
          </w:p>
        </w:tc>
        <w:tc>
          <w:tcPr>
            <w:tcW w:w="3973"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一种含纳米Ru催化剂和碱式硫酸锌盐的催化体系及其催化苯选择加氢制环己烯方法(ZL201210255302.4)</w:t>
            </w:r>
          </w:p>
        </w:tc>
        <w:tc>
          <w:tcPr>
            <w:tcW w:w="3737"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郑州大学</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10</w:t>
            </w:r>
          </w:p>
        </w:tc>
        <w:tc>
          <w:tcPr>
            <w:tcW w:w="213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专利优秀奖</w:t>
            </w:r>
          </w:p>
        </w:tc>
      </w:tr>
      <w:tr>
        <w:trPr>
          <w:trHeight w:val="1005"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11</w:t>
            </w:r>
          </w:p>
        </w:tc>
        <w:tc>
          <w:tcPr>
            <w:tcW w:w="3973"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一种用于盾构机刀盘的可转动辐条(ZL201610829807.5)</w:t>
            </w:r>
          </w:p>
        </w:tc>
        <w:tc>
          <w:tcPr>
            <w:tcW w:w="3737"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中铁隧道局集团有限公司</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10</w:t>
            </w:r>
          </w:p>
        </w:tc>
        <w:tc>
          <w:tcPr>
            <w:tcW w:w="213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专利优秀奖</w:t>
            </w:r>
          </w:p>
        </w:tc>
      </w:tr>
      <w:tr>
        <w:trPr>
          <w:trHeight w:val="690"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12</w:t>
            </w:r>
          </w:p>
        </w:tc>
        <w:tc>
          <w:tcPr>
            <w:tcW w:w="3973"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仔猪早期隔离断奶方法(ZL200810230977.7)</w:t>
            </w:r>
          </w:p>
        </w:tc>
        <w:tc>
          <w:tcPr>
            <w:tcW w:w="3737"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牧原食品股份有限公司</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10</w:t>
            </w:r>
          </w:p>
        </w:tc>
        <w:tc>
          <w:tcPr>
            <w:tcW w:w="213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专利优秀奖</w:t>
            </w:r>
          </w:p>
        </w:tc>
      </w:tr>
      <w:tr>
        <w:trPr>
          <w:trHeight w:val="690"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13</w:t>
            </w:r>
          </w:p>
        </w:tc>
        <w:tc>
          <w:tcPr>
            <w:tcW w:w="3973"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一种耐热耐磨药芯焊丝(ZL201610543425.6)</w:t>
            </w:r>
          </w:p>
        </w:tc>
        <w:tc>
          <w:tcPr>
            <w:tcW w:w="3737"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郑州机械研究所有限公司</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10</w:t>
            </w:r>
          </w:p>
        </w:tc>
        <w:tc>
          <w:tcPr>
            <w:tcW w:w="213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专利优秀奖</w:t>
            </w:r>
          </w:p>
        </w:tc>
      </w:tr>
      <w:tr>
        <w:trPr>
          <w:trHeight w:val="690"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14</w:t>
            </w:r>
          </w:p>
        </w:tc>
        <w:tc>
          <w:tcPr>
            <w:tcW w:w="3973"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具备防抬梁和防落梁功能的双曲面球型减隔震支座(ZL201610763663.8)</w:t>
            </w:r>
          </w:p>
        </w:tc>
        <w:tc>
          <w:tcPr>
            <w:tcW w:w="3737"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洛阳双瑞特种装备有限公司</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10</w:t>
            </w:r>
          </w:p>
        </w:tc>
        <w:tc>
          <w:tcPr>
            <w:tcW w:w="213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专利优秀奖</w:t>
            </w:r>
          </w:p>
        </w:tc>
      </w:tr>
      <w:tr>
        <w:trPr>
          <w:trHeight w:val="690"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15</w:t>
            </w:r>
          </w:p>
        </w:tc>
        <w:tc>
          <w:tcPr>
            <w:tcW w:w="3973"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同时降解玉米赤霉烯酮和纤维素的枯草芽孢杆菌及其应用 (ZL201010620651.2)</w:t>
            </w:r>
          </w:p>
        </w:tc>
        <w:tc>
          <w:tcPr>
            <w:tcW w:w="3737"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河南亿万中元生物技术有限公司</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10</w:t>
            </w:r>
          </w:p>
        </w:tc>
        <w:tc>
          <w:tcPr>
            <w:tcW w:w="213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专利优秀奖</w:t>
            </w:r>
          </w:p>
        </w:tc>
      </w:tr>
      <w:tr>
        <w:trPr>
          <w:trHeight w:val="690"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16</w:t>
            </w:r>
          </w:p>
        </w:tc>
        <w:tc>
          <w:tcPr>
            <w:tcW w:w="3973"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锂离子动力电池(ZL201110024591.2)</w:t>
            </w:r>
          </w:p>
        </w:tc>
        <w:tc>
          <w:tcPr>
            <w:tcW w:w="3737"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洛阳银隆新能源有限公司</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10</w:t>
            </w:r>
          </w:p>
        </w:tc>
        <w:tc>
          <w:tcPr>
            <w:tcW w:w="213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专利优秀奖</w:t>
            </w:r>
          </w:p>
        </w:tc>
      </w:tr>
      <w:tr>
        <w:trPr>
          <w:trHeight w:val="690"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17</w:t>
            </w:r>
          </w:p>
        </w:tc>
        <w:tc>
          <w:tcPr>
            <w:tcW w:w="3973"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压缩机和空调器(ZL201410143626.8)</w:t>
            </w:r>
          </w:p>
        </w:tc>
        <w:tc>
          <w:tcPr>
            <w:tcW w:w="3737"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格力电器（郑州）有限公司</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10</w:t>
            </w:r>
          </w:p>
        </w:tc>
        <w:tc>
          <w:tcPr>
            <w:tcW w:w="213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专利优秀奖</w:t>
            </w:r>
          </w:p>
        </w:tc>
      </w:tr>
      <w:tr>
        <w:trPr>
          <w:trHeight w:val="690"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18</w:t>
            </w:r>
          </w:p>
        </w:tc>
        <w:tc>
          <w:tcPr>
            <w:tcW w:w="3973"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一种空调器频率的控制方法及装置 (ZL201510885089.9)</w:t>
            </w:r>
          </w:p>
        </w:tc>
        <w:tc>
          <w:tcPr>
            <w:tcW w:w="3737"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格力电器（郑州）有限公司</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10</w:t>
            </w:r>
          </w:p>
        </w:tc>
        <w:tc>
          <w:tcPr>
            <w:tcW w:w="213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专利优秀奖</w:t>
            </w:r>
          </w:p>
        </w:tc>
      </w:tr>
      <w:tr>
        <w:trPr>
          <w:trHeight w:val="690"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19</w:t>
            </w:r>
          </w:p>
        </w:tc>
        <w:tc>
          <w:tcPr>
            <w:tcW w:w="3973"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双级压缩机的补气增焓控制方法、设备和装置(ZL201510926140.6)</w:t>
            </w:r>
          </w:p>
        </w:tc>
        <w:tc>
          <w:tcPr>
            <w:tcW w:w="3737"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格力电器（郑州）有限公司</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10</w:t>
            </w:r>
          </w:p>
        </w:tc>
        <w:tc>
          <w:tcPr>
            <w:tcW w:w="213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专利优秀奖</w:t>
            </w:r>
          </w:p>
        </w:tc>
      </w:tr>
      <w:tr>
        <w:trPr>
          <w:trHeight w:val="690"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20</w:t>
            </w:r>
          </w:p>
        </w:tc>
        <w:tc>
          <w:tcPr>
            <w:tcW w:w="3973"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一种起重机单梁行走轮锻造工艺 (ZL201610661551.1)</w:t>
            </w:r>
          </w:p>
        </w:tc>
        <w:tc>
          <w:tcPr>
            <w:tcW w:w="3737"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 xml:space="preserve">河南省矿山起重机有限公司 </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10</w:t>
            </w:r>
          </w:p>
        </w:tc>
        <w:tc>
          <w:tcPr>
            <w:tcW w:w="213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专利优秀奖</w:t>
            </w:r>
          </w:p>
        </w:tc>
      </w:tr>
      <w:tr>
        <w:trPr>
          <w:trHeight w:val="690"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21</w:t>
            </w:r>
          </w:p>
        </w:tc>
        <w:tc>
          <w:tcPr>
            <w:tcW w:w="3973"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一种电饭锅加热温度控制方法、装置及电饭锅(ZL201610917648.4)</w:t>
            </w:r>
          </w:p>
        </w:tc>
        <w:tc>
          <w:tcPr>
            <w:tcW w:w="3737"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 xml:space="preserve">格力电器（郑州）有限公司 </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10</w:t>
            </w:r>
          </w:p>
        </w:tc>
        <w:tc>
          <w:tcPr>
            <w:tcW w:w="213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专利优秀奖</w:t>
            </w:r>
          </w:p>
        </w:tc>
      </w:tr>
      <w:tr>
        <w:trPr>
          <w:trHeight w:val="690"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22</w:t>
            </w:r>
          </w:p>
        </w:tc>
        <w:tc>
          <w:tcPr>
            <w:tcW w:w="3973"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药芯银钎料及其制备方法 (ZL201510269666.1)</w:t>
            </w:r>
          </w:p>
        </w:tc>
        <w:tc>
          <w:tcPr>
            <w:tcW w:w="3737"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郑州机械研究所有限公司</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10</w:t>
            </w:r>
          </w:p>
        </w:tc>
        <w:tc>
          <w:tcPr>
            <w:tcW w:w="213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专利优秀奖</w:t>
            </w:r>
          </w:p>
        </w:tc>
      </w:tr>
      <w:tr>
        <w:trPr>
          <w:trHeight w:val="690"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23</w:t>
            </w:r>
          </w:p>
        </w:tc>
        <w:tc>
          <w:tcPr>
            <w:tcW w:w="3973"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汽车(ZL201330253831.6)</w:t>
            </w:r>
          </w:p>
        </w:tc>
        <w:tc>
          <w:tcPr>
            <w:tcW w:w="3737"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s="华文中宋"/>
                <w:sz w:val="24"/>
                <w:szCs w:val="24"/>
                <w:lang/>
              </w:rPr>
            </w:pPr>
            <w:r>
              <w:rPr>
                <w:rFonts w:hint="eastAsia" w:ascii="仿宋_GB2312" w:hAnsi="仿宋" w:eastAsia="仿宋_GB2312" w:cs="华文中宋"/>
                <w:sz w:val="24"/>
                <w:szCs w:val="24"/>
                <w:lang/>
              </w:rPr>
              <w:t>海马汽车有限公司</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10</w:t>
            </w:r>
          </w:p>
        </w:tc>
        <w:tc>
          <w:tcPr>
            <w:tcW w:w="213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华文中宋"/>
                <w:sz w:val="24"/>
                <w:szCs w:val="24"/>
                <w:lang/>
              </w:rPr>
            </w:pPr>
            <w:r>
              <w:rPr>
                <w:rFonts w:hint="eastAsia" w:ascii="仿宋_GB2312" w:hAnsi="仿宋" w:eastAsia="仿宋_GB2312" w:cs="华文中宋"/>
                <w:sz w:val="24"/>
                <w:szCs w:val="24"/>
                <w:lang/>
              </w:rPr>
              <w:t>外观设计优秀奖</w:t>
            </w:r>
          </w:p>
        </w:tc>
      </w:tr>
      <w:tr>
        <w:trPr>
          <w:trHeight w:val="690" w:hRule="atLeast"/>
          <w:jc w:val="center"/>
        </w:trPr>
        <w:tc>
          <w:tcPr>
            <w:tcW w:w="720" w:type="dxa"/>
            <w:tcBorders>
              <w:top w:val="single" w:color="auto" w:sz="4" w:space="0"/>
            </w:tcBorders>
            <w:shd w:val="clear" w:color="000000" w:fill="FFFFFF"/>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合计　</w:t>
            </w:r>
          </w:p>
        </w:tc>
        <w:tc>
          <w:tcPr>
            <w:tcW w:w="3973" w:type="dxa"/>
            <w:tcBorders>
              <w:top w:val="single" w:color="auto" w:sz="4" w:space="0"/>
            </w:tcBorders>
            <w:shd w:val="clear" w:color="000000" w:fill="FFFFFF"/>
            <w:vAlign w:val="center"/>
          </w:tcPr>
          <w:p>
            <w:pPr>
              <w:widowControl/>
              <w:jc w:val="center"/>
              <w:rPr>
                <w:rFonts w:ascii="仿宋_GB2312" w:hAnsi="仿宋" w:eastAsia="仿宋_GB2312" w:cs="宋体"/>
                <w:b/>
                <w:color w:val="000000"/>
                <w:kern w:val="0"/>
                <w:sz w:val="24"/>
                <w:szCs w:val="24"/>
              </w:rPr>
            </w:pPr>
          </w:p>
        </w:tc>
        <w:tc>
          <w:tcPr>
            <w:tcW w:w="3737" w:type="dxa"/>
            <w:tcBorders>
              <w:top w:val="single" w:color="auto" w:sz="4" w:space="0"/>
            </w:tcBorders>
            <w:shd w:val="clear" w:color="000000" w:fill="FFFFFF"/>
            <w:vAlign w:val="center"/>
          </w:tcPr>
          <w:p>
            <w:pPr>
              <w:widowControl/>
              <w:jc w:val="left"/>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　</w:t>
            </w:r>
          </w:p>
        </w:tc>
        <w:tc>
          <w:tcPr>
            <w:tcW w:w="1276" w:type="dxa"/>
            <w:tcBorders>
              <w:top w:val="single" w:color="auto" w:sz="4" w:space="0"/>
            </w:tcBorders>
            <w:shd w:val="clear" w:color="000000" w:fill="FFFFFF"/>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410</w:t>
            </w:r>
          </w:p>
        </w:tc>
        <w:tc>
          <w:tcPr>
            <w:tcW w:w="2135" w:type="dxa"/>
            <w:tcBorders>
              <w:top w:val="single" w:color="auto" w:sz="4" w:space="0"/>
            </w:tcBorders>
            <w:shd w:val="clear" w:color="000000" w:fill="FFFFFF"/>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　</w:t>
            </w:r>
          </w:p>
        </w:tc>
      </w:tr>
    </w:tbl>
    <w:p>
      <w:pPr>
        <w:spacing w:line="600" w:lineRule="exact"/>
        <w:ind w:left="120" w:leftChars="57" w:firstLine="360" w:firstLineChars="150"/>
        <w:jc w:val="left"/>
        <w:rPr>
          <w:rFonts w:ascii="仿宋_GB2312" w:hAnsi="仿宋" w:eastAsia="仿宋_GB2312" w:cs="华文中宋"/>
          <w:sz w:val="24"/>
          <w:lang/>
        </w:rPr>
      </w:pPr>
      <w:r>
        <w:rPr>
          <w:rFonts w:hint="eastAsia" w:ascii="仿宋_GB2312" w:hAnsi="仿宋" w:eastAsia="仿宋_GB2312" w:cs="华文中宋"/>
          <w:sz w:val="24"/>
          <w:lang/>
        </w:rPr>
        <w:t xml:space="preserve"> </w:t>
      </w:r>
      <w:r>
        <w:rPr>
          <w:rFonts w:ascii="仿宋_GB2312" w:hAnsi="仿宋" w:eastAsia="仿宋_GB2312" w:cs="华文中宋"/>
          <w:sz w:val="24"/>
          <w:lang/>
        </w:rPr>
        <w:t xml:space="preserve">  </w:t>
      </w:r>
      <w:r>
        <w:rPr>
          <w:rFonts w:hint="eastAsia" w:ascii="仿宋_GB2312" w:hAnsi="仿宋" w:eastAsia="仿宋_GB2312" w:cs="华文中宋"/>
          <w:sz w:val="24"/>
          <w:lang/>
        </w:rPr>
        <w:t>注：根据《河南省专利奖励办法实施细则》（豫知〔2017〕53号），获得中国专利奖的我省项目，同一专利按最</w:t>
      </w:r>
    </w:p>
    <w:p>
      <w:pPr>
        <w:spacing w:line="600" w:lineRule="exact"/>
        <w:ind w:left="120" w:leftChars="57" w:firstLine="360" w:firstLineChars="150"/>
        <w:jc w:val="left"/>
        <w:rPr>
          <w:rFonts w:ascii="仿宋_GB2312" w:hAnsi="仿宋" w:eastAsia="仿宋_GB2312" w:cs="华文中宋"/>
          <w:sz w:val="24"/>
          <w:lang/>
        </w:rPr>
      </w:pPr>
      <w:r>
        <w:rPr>
          <w:rFonts w:hint="eastAsia" w:ascii="仿宋_GB2312" w:hAnsi="仿宋" w:eastAsia="仿宋_GB2312" w:cs="华文中宋"/>
          <w:sz w:val="24"/>
          <w:lang/>
        </w:rPr>
        <w:t xml:space="preserve"> </w:t>
      </w:r>
      <w:r>
        <w:rPr>
          <w:rFonts w:ascii="仿宋_GB2312" w:hAnsi="仿宋" w:eastAsia="仿宋_GB2312" w:cs="华文中宋"/>
          <w:sz w:val="24"/>
          <w:lang/>
        </w:rPr>
        <w:t xml:space="preserve"> </w:t>
      </w:r>
      <w:r>
        <w:rPr>
          <w:rFonts w:hint="eastAsia" w:ascii="仿宋_GB2312" w:hAnsi="仿宋" w:eastAsia="仿宋_GB2312" w:cs="华文中宋"/>
          <w:sz w:val="24"/>
          <w:lang/>
        </w:rPr>
        <w:t xml:space="preserve">     高级别奖补，只补差额不重复奖励。</w:t>
      </w:r>
    </w:p>
    <w:p>
      <w:pPr>
        <w:spacing w:line="420" w:lineRule="exact"/>
        <w:ind w:firstLine="640" w:firstLineChars="200"/>
        <w:rPr>
          <w:rFonts w:ascii="仿宋_GB2312" w:hAnsi="仿宋_GB2312" w:eastAsia="仿宋_GB2312" w:cs="仿宋_GB2312"/>
          <w:color w:val="000000"/>
          <w:sz w:val="32"/>
          <w:szCs w:val="32"/>
        </w:rPr>
      </w:pPr>
    </w:p>
    <w:p>
      <w:pPr>
        <w:tabs>
          <w:tab w:val="left" w:pos="907"/>
        </w:tabs>
        <w:spacing w:line="420" w:lineRule="exact"/>
        <w:rPr>
          <w:rFonts w:ascii="仿宋_GB2312" w:hAnsi="仿宋_GB2312" w:eastAsia="仿宋_GB2312" w:cs="仿宋_GB2312"/>
          <w:color w:val="000000"/>
          <w:sz w:val="32"/>
          <w:szCs w:val="32"/>
        </w:rPr>
      </w:pPr>
      <w:bookmarkStart w:id="0" w:name="_GoBack"/>
      <w:bookmarkEnd w:id="0"/>
    </w:p>
    <w:sectPr>
      <w:headerReference r:id="rId4" w:type="default"/>
      <w:footerReference r:id="rId6" w:type="default"/>
      <w:headerReference r:id="rId5" w:type="even"/>
      <w:footerReference r:id="rId7" w:type="even"/>
      <w:pgSz w:w="16838" w:h="11906" w:orient="landscape"/>
      <w:pgMar w:top="1588" w:right="2098" w:bottom="1588" w:left="1588" w:header="851" w:footer="1247" w:gutter="0"/>
      <w:cols w:space="425" w:num="1"/>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PMingLiU">
    <w:panose1 w:val="02020500000000000000"/>
    <w:charset w:val="88"/>
    <w:family w:val="auto"/>
    <w:pitch w:val="default"/>
    <w:sig w:usb0="A00002FF" w:usb1="28CFFCFA" w:usb2="00000016" w:usb3="00000000" w:csb0="00100001" w:csb1="00000000"/>
  </w:font>
  <w:font w:name="方正仿宋_GBK">
    <w:altName w:val="微软雅黑"/>
    <w:panose1 w:val="00000000000000000000"/>
    <w:charset w:val="86"/>
    <w:family w:val="auto"/>
    <w:pitch w:val="default"/>
    <w:sig w:usb0="00000000" w:usb1="38CF7CFA" w:usb2="00082016" w:usb3="00000000" w:csb0="00040001" w:csb1="00000000"/>
  </w:font>
  <w:font w:name="仿宋_GB2312">
    <w:altName w:val="仿宋"/>
    <w:panose1 w:val="02010609030101010101"/>
    <w:charset w:val="86"/>
    <w:family w:val="auto"/>
    <w:pitch w:val="default"/>
    <w:sig w:usb0="00000001" w:usb1="080E0000" w:usb2="00000010" w:usb3="00000000" w:csb0="00040000" w:csb1="00000000"/>
  </w:font>
  <w:font w:name="ST Song">
    <w:altName w:val="宋体"/>
    <w:panose1 w:val="00000000000000000000"/>
    <w:charset w:val="86"/>
    <w:family w:val="auto"/>
    <w:pitch w:val="default"/>
    <w:sig w:usb0="00000000" w:usb1="00000000" w:usb2="00000010" w:usb3="00000000" w:csb0="00040000" w:csb1="00000000"/>
  </w:font>
  <w:font w:name="文星仿宋">
    <w:altName w:val="微软雅黑"/>
    <w:panose1 w:val="00000000000000000000"/>
    <w:charset w:val="86"/>
    <w:family w:val="auto"/>
    <w:pitch w:val="default"/>
    <w:sig w:usb0="00000000" w:usb1="00000000" w:usb2="00000010" w:usb3="00000000" w:csb0="00040001" w:csb1="00000000"/>
  </w:font>
  <w:font w:name="方正小标宋简体">
    <w:altName w:val="微软雅黑"/>
    <w:panose1 w:val="02010601030101010101"/>
    <w:charset w:val="86"/>
    <w:family w:val="auto"/>
    <w:pitch w:val="default"/>
    <w:sig w:usb0="00000001" w:usb1="080E0000" w:usb2="00000010" w:usb3="00000000" w:csb0="00040000" w:csb1="00000000"/>
  </w:font>
  <w:font w:name="文星标宋">
    <w:altName w:val="微软雅黑"/>
    <w:panose1 w:val="00000000000000000000"/>
    <w:charset w:val="86"/>
    <w:family w:val="auto"/>
    <w:pitch w:val="default"/>
    <w:sig w:usb0="00000000" w:usb1="080E0000" w:usb2="00000010" w:usb3="00000000" w:csb0="00040001" w:csb1="00000000"/>
  </w:font>
  <w:font w:name="华文中宋">
    <w:altName w:val="宋体"/>
    <w:panose1 w:val="02010600040101010101"/>
    <w:charset w:val="86"/>
    <w:family w:val="auto"/>
    <w:pitch w:val="default"/>
    <w:sig w:usb0="00000287" w:usb1="080F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7"/>
      <w:wordWrap w:val="0"/>
      <w:jc w:val="right"/>
      <w:rPr>
        <w:rFonts w:ascii="宋体" w:hAnsi="宋体"/>
        <w:sz w:val="28"/>
        <w:szCs w:val="28"/>
      </w:rPr>
    </w:pPr>
    <w:r>
      <w:rPr>
        <w:rFonts w:hint="eastAsia" w:ascii="宋体" w:hAnsi="宋体"/>
        <w:sz w:val="28"/>
        <w:szCs w:val="28"/>
      </w:rPr>
      <w:t>一</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hint="eastAsia" w:ascii="宋体" w:hAnsi="宋体"/>
        <w:sz w:val="28"/>
        <w:szCs w:val="28"/>
      </w:rPr>
      <w:t>一</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7"/>
      <w:rPr>
        <w:rFonts w:ascii="宋体" w:hAnsi="宋体"/>
        <w:sz w:val="28"/>
        <w:szCs w:val="28"/>
      </w:rPr>
    </w:pPr>
    <w:r>
      <w:rPr>
        <w:rFonts w:hint="eastAsia" w:ascii="宋体" w:hAnsi="宋体"/>
        <w:sz w:val="28"/>
        <w:szCs w:val="28"/>
      </w:rPr>
      <w:t>一</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hint="eastAsia" w:ascii="宋体" w:hAnsi="宋体"/>
        <w:sz w:val="28"/>
        <w:szCs w:val="28"/>
      </w:rPr>
      <w:t>一</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style w:type="paragraph" w:default="1" w:styleId="1">
    <w:name w:val="Normal"/>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3"/>
    <w:pPr>
      <w:keepNext/>
      <w:keepLines/>
      <w:spacing w:before="340" w:after="330" w:line="578" w:lineRule="auto"/>
      <w:outlineLvl w:val="0"/>
    </w:pPr>
    <w:rPr>
      <w:rFonts w:cs="Calibri"/>
      <w:b/>
      <w:bCs/>
      <w:kern w:val="44"/>
      <w:sz w:val="44"/>
      <w:szCs w:val="44"/>
    </w:rPr>
  </w:style>
  <w:style w:type="paragraph" w:styleId="5">
    <w:name w:val="heading 2"/>
    <w:basedOn w:val="1"/>
    <w:next w:val="1"/>
    <w:link w:val="6"/>
    <w:pPr>
      <w:keepNext/>
      <w:keepLines/>
      <w:spacing w:before="260" w:after="260" w:line="416" w:lineRule="auto"/>
      <w:outlineLvl w:val="1"/>
    </w:pPr>
    <w:rPr>
      <w:rFonts w:ascii="Cambria" w:hAnsi="Cambria" w:eastAsia="宋体" w:cs="Times New Roman"/>
      <w:b/>
      <w:bCs/>
      <w:sz w:val="32"/>
      <w:szCs w:val="32"/>
    </w:rPr>
  </w:style>
  <w:style w:type="paragraph" w:styleId="7">
    <w:name w:val="heading 3"/>
    <w:basedOn w:val="1"/>
    <w:next w:val="1"/>
    <w:link w:val="8"/>
    <w:pPr>
      <w:keepNext/>
      <w:keepLines/>
      <w:spacing w:before="260" w:after="260" w:line="416" w:lineRule="auto"/>
      <w:outlineLvl w:val="2"/>
    </w:pPr>
    <w:rPr>
      <w:rFonts w:cs="Calibri"/>
      <w:b/>
      <w:bCs/>
      <w:kern w:val="2"/>
      <w:sz w:val="32"/>
      <w:szCs w:val="32"/>
    </w:rPr>
  </w:style>
  <w:style w:type="character" w:default="1" w:styleId="4">
    <w:name w:val="Default Paragraph Font"/>
  </w:style>
  <w:style w:type="character" w:customStyle="1" w:styleId="3">
    <w:name w:val="标题 1 Char"/>
    <w:basedOn w:val="4"/>
    <w:link w:val="2"/>
    <w:semiHidden/>
    <w:rPr>
      <w:rFonts w:cs="Calibri"/>
      <w:b/>
      <w:bCs/>
      <w:kern w:val="44"/>
      <w:sz w:val="44"/>
      <w:szCs w:val="44"/>
    </w:rPr>
  </w:style>
  <w:style w:type="character" w:customStyle="1" w:styleId="6">
    <w:name w:val="标题 2 Char"/>
    <w:link w:val="5"/>
    <w:semiHidden/>
    <w:rPr>
      <w:rFonts w:ascii="Cambria" w:hAnsi="Cambria" w:eastAsia="宋体" w:cs="Times New Roman"/>
      <w:b/>
      <w:bCs/>
      <w:sz w:val="32"/>
      <w:szCs w:val="32"/>
    </w:rPr>
  </w:style>
  <w:style w:type="character" w:customStyle="1" w:styleId="8">
    <w:name w:val="标题 3 Char"/>
    <w:basedOn w:val="4"/>
    <w:link w:val="7"/>
    <w:semiHidden/>
    <w:rPr>
      <w:rFonts w:cs="Calibri"/>
      <w:b/>
      <w:bCs/>
      <w:kern w:val="2"/>
      <w:sz w:val="32"/>
      <w:szCs w:val="32"/>
    </w:rPr>
  </w:style>
  <w:style w:type="paragraph" w:styleId="9">
    <w:name w:val="annotation text"/>
    <w:basedOn w:val="1"/>
    <w:link w:val="10"/>
    <w:pPr>
      <w:jc w:val="left"/>
    </w:pPr>
    <w:rPr>
      <w:szCs w:val="24"/>
    </w:rPr>
  </w:style>
  <w:style w:type="character" w:customStyle="1" w:styleId="10">
    <w:name w:val="批注文字 Char"/>
    <w:link w:val="9"/>
    <w:semiHidden/>
    <w:rPr>
      <w:szCs w:val="24"/>
    </w:rPr>
  </w:style>
  <w:style w:type="paragraph" w:styleId="11">
    <w:name w:val="Body Text"/>
    <w:basedOn w:val="1"/>
    <w:link w:val="12"/>
    <w:pPr>
      <w:autoSpaceDE w:val="0"/>
      <w:autoSpaceDN w:val="0"/>
      <w:jc w:val="left"/>
    </w:pPr>
    <w:rPr>
      <w:rFonts w:ascii="PMingLiU" w:hAnsi="PMingLiU" w:eastAsia="PMingLiU" w:cs="PMingLiU"/>
      <w:sz w:val="44"/>
      <w:szCs w:val="44"/>
      <w:lang w:val="zh-CN" w:bidi="zh-CN"/>
    </w:rPr>
  </w:style>
  <w:style w:type="character" w:customStyle="1" w:styleId="12">
    <w:name w:val="正文文本 Char"/>
    <w:basedOn w:val="4"/>
    <w:link w:val="11"/>
    <w:semiHidden/>
    <w:rPr>
      <w:rFonts w:ascii="PMingLiU" w:hAnsi="PMingLiU" w:eastAsia="PMingLiU" w:cs="PMingLiU"/>
      <w:sz w:val="44"/>
      <w:szCs w:val="44"/>
      <w:lang w:val="zh-CN" w:bidi="zh-CN"/>
    </w:rPr>
  </w:style>
  <w:style w:type="character" w:customStyle="1" w:styleId="13">
    <w:name w:val="日期 Char"/>
    <w:basedOn w:val="4"/>
    <w:link w:val="14"/>
    <w:semiHidden/>
    <w:rPr/>
  </w:style>
  <w:style w:type="paragraph" w:customStyle="1" w:styleId="14">
    <w:name w:val="Date"/>
    <w:basedOn w:val="1"/>
    <w:next w:val="1"/>
    <w:link w:val="13"/>
    <w:pPr>
      <w:ind w:left="100" w:leftChars="2500"/>
    </w:pPr>
  </w:style>
  <w:style w:type="paragraph" w:styleId="15">
    <w:name w:val="批注框文本"/>
    <w:basedOn w:val="1"/>
    <w:link w:val="16"/>
    <w:rPr>
      <w:sz w:val="2"/>
      <w:szCs w:val="2"/>
    </w:rPr>
  </w:style>
  <w:style w:type="character" w:customStyle="1" w:styleId="16">
    <w:name w:val="批注框文本 Char"/>
    <w:link w:val="15"/>
    <w:semiHidden/>
    <w:rPr>
      <w:sz w:val="2"/>
      <w:szCs w:val="2"/>
    </w:rPr>
  </w:style>
  <w:style w:type="paragraph" w:styleId="17">
    <w:name w:val="footer"/>
    <w:basedOn w:val="1"/>
    <w:link w:val="18"/>
    <w:pPr>
      <w:tabs>
        <w:tab w:val="center" w:pos="4153"/>
        <w:tab w:val="right" w:pos="8306"/>
      </w:tabs>
      <w:snapToGrid w:val="0"/>
      <w:jc w:val="left"/>
    </w:pPr>
    <w:rPr>
      <w:sz w:val="18"/>
      <w:szCs w:val="18"/>
    </w:rPr>
  </w:style>
  <w:style w:type="character" w:customStyle="1" w:styleId="18">
    <w:name w:val="页脚 Char"/>
    <w:link w:val="17"/>
    <w:semiHidden/>
    <w:rPr>
      <w:sz w:val="18"/>
      <w:szCs w:val="18"/>
    </w:rPr>
  </w:style>
  <w:style w:type="paragraph" w:styleId="19">
    <w:name w:val="header"/>
    <w:basedOn w:val="1"/>
    <w:link w:val="20"/>
    <w:pPr>
      <w:pBdr>
        <w:bottom w:val="single" w:color="auto" w:sz="6" w:space="1"/>
      </w:pBdr>
      <w:tabs>
        <w:tab w:val="center" w:pos="4153"/>
        <w:tab w:val="right" w:pos="8306"/>
      </w:tabs>
      <w:snapToGrid w:val="0"/>
      <w:jc w:val="center"/>
    </w:pPr>
    <w:rPr>
      <w:sz w:val="18"/>
      <w:szCs w:val="18"/>
    </w:rPr>
  </w:style>
  <w:style w:type="character" w:customStyle="1" w:styleId="20">
    <w:name w:val="页眉 Char"/>
    <w:link w:val="19"/>
    <w:semiHidden/>
    <w:rPr>
      <w:sz w:val="18"/>
      <w:szCs w:val="18"/>
    </w:rPr>
  </w:style>
  <w:style w:type="paragraph" w:styleId="21">
    <w:name w:val="Title"/>
    <w:basedOn w:val="1"/>
    <w:next w:val="1"/>
    <w:link w:val="22"/>
    <w:pPr>
      <w:spacing w:before="240" w:after="60"/>
      <w:jc w:val="center"/>
      <w:outlineLvl w:val="0"/>
    </w:pPr>
    <w:rPr>
      <w:rFonts w:ascii="Cambria" w:hAnsi="Cambria" w:cs="黑体"/>
      <w:b/>
      <w:bCs/>
      <w:kern w:val="2"/>
      <w:sz w:val="32"/>
      <w:szCs w:val="32"/>
    </w:rPr>
  </w:style>
  <w:style w:type="character" w:customStyle="1" w:styleId="22">
    <w:name w:val="标题 Char"/>
    <w:basedOn w:val="4"/>
    <w:link w:val="21"/>
    <w:semiHidden/>
    <w:rPr>
      <w:rFonts w:ascii="Cambria" w:hAnsi="Cambria" w:cs="黑体"/>
      <w:b/>
      <w:bCs/>
      <w:kern w:val="2"/>
      <w:sz w:val="32"/>
      <w:szCs w:val="32"/>
    </w:rPr>
  </w:style>
  <w:style w:type="character" w:styleId="23">
    <w:name w:val="Strong"/>
    <w:rPr>
      <w:b/>
      <w:bCs/>
    </w:rPr>
  </w:style>
  <w:style w:type="character" w:styleId="24">
    <w:name w:val="Hyperlink"/>
    <w:rPr>
      <w:color w:val="0000FF"/>
      <w:u w:val="single"/>
    </w:rPr>
  </w:style>
  <w:style w:type="paragraph" w:customStyle="1" w:styleId="25">
    <w:name w:val="Normal (Web)"/>
    <w:basedOn w:val="1"/>
    <w:pPr>
      <w:widowControl/>
      <w:spacing w:before="100" w:beforeAutospacing="1" w:after="100" w:afterAutospacing="1"/>
      <w:jc w:val="left"/>
    </w:pPr>
    <w:rPr>
      <w:rFonts w:ascii="宋体" w:hAnsi="宋体" w:cs="Times New Roman"/>
      <w:kern w:val="0"/>
      <w:sz w:val="24"/>
      <w:szCs w:val="24"/>
    </w:rPr>
  </w:style>
  <w:style w:type="paragraph" w:customStyle="1" w:styleId="26">
    <w:name w:val="List Paragraph"/>
    <w:basedOn w:val="1"/>
    <w:pPr>
      <w:ind w:firstLine="420" w:firstLineChars="200"/>
    </w:pPr>
  </w:style>
  <w:style w:type="paragraph" w:customStyle="1" w:styleId="27">
    <w:name w:val="Char"/>
    <w:basedOn w:val="1"/>
    <w:rPr>
      <w:rFonts w:ascii="Times New Roman" w:hAnsi="Times New Roman" w:eastAsia="方正仿宋_GBK" w:cs="Times New Roman"/>
      <w:sz w:val="32"/>
      <w:szCs w:val="32"/>
    </w:rPr>
  </w:style>
  <w:style w:type="paragraph" w:customStyle="1" w:styleId="28">
    <w:name w:val="Char Char1"/>
    <w:basedOn w:val="1"/>
    <w:pPr>
      <w:snapToGrid w:val="0"/>
      <w:spacing w:line="360" w:lineRule="auto"/>
      <w:ind w:firstLine="200" w:firstLineChars="200"/>
    </w:pPr>
    <w:rPr>
      <w:rFonts w:ascii="Times New Roman" w:hAnsi="Times New Roman" w:cs="Times New Roman"/>
      <w:szCs w:val="20"/>
    </w:rPr>
  </w:style>
  <w:style w:type="paragraph" w:customStyle="1" w:styleId="29">
    <w:name w:val="Char Char Char Char Char Char Char Char Char Char"/>
    <w:basedOn w:val="1"/>
    <w:pPr>
      <w:ind w:left="1680" w:firstLine="196" w:firstLineChars="70"/>
    </w:pPr>
    <w:rPr>
      <w:rFonts w:ascii="仿宋_GB2312" w:hAnsi="Times New Roman" w:eastAsia="仿宋_GB2312" w:cs="仿宋_GB2312"/>
      <w:sz w:val="28"/>
      <w:szCs w:val="28"/>
    </w:rPr>
  </w:style>
  <w:style w:type="paragraph" w:customStyle="1" w:styleId="30">
    <w:name w:val="Default"/>
    <w:pPr>
      <w:widowControl w:val="0"/>
      <w:autoSpaceDE w:val="0"/>
      <w:autoSpaceDN w:val="0"/>
      <w:adjustRightInd w:val="0"/>
    </w:pPr>
    <w:rPr>
      <w:rFonts w:ascii="ST Song" w:hAnsi="Times New Roman" w:eastAsia="ST Song"/>
      <w:color w:val="000000"/>
      <w:sz w:val="24"/>
    </w:rPr>
  </w:style>
  <w:style w:type="paragraph" w:customStyle="1" w:styleId="31">
    <w:name w:val="Char Char Char"/>
    <w:basedOn w:val="1"/>
    <w:pPr>
      <w:tabs>
        <w:tab w:val="left" w:pos="795"/>
        <w:tab w:val="left" w:pos="907"/>
      </w:tabs>
      <w:ind w:left="795" w:hanging="360"/>
    </w:pPr>
    <w:rPr>
      <w:rFonts w:ascii="仿宋_GB2312" w:hAnsi="Times New Roman" w:eastAsia="仿宋_GB2312" w:cs="Times New Roman"/>
      <w:spacing w:val="-4"/>
      <w:sz w:val="32"/>
      <w:szCs w:val="20"/>
    </w:rPr>
  </w:style>
  <w:style w:type="paragraph" w:customStyle="1" w:styleId="32">
    <w:name w:val="_Style 2"/>
    <w:basedOn w:val="1"/>
    <w:pPr>
      <w:ind w:firstLine="196" w:firstLineChars="70"/>
    </w:pPr>
    <w:rPr>
      <w:rFonts w:ascii="仿宋_GB2312" w:hAnsi="Times New Roman" w:eastAsia="仿宋_GB2312" w:cs="Times New Roman"/>
      <w:sz w:val="28"/>
      <w:szCs w:val="28"/>
    </w:rPr>
  </w:style>
  <w:style w:type="paragraph" w:customStyle="1" w:styleId="33">
    <w:name w:val="Table Paragraph"/>
    <w:basedOn w:val="1"/>
    <w:rPr>
      <w:rFonts w:ascii="仿宋_GB2312" w:hAnsi="仿宋_GB2312" w:eastAsia="仿宋_GB2312" w:cs="仿宋_GB2312"/>
      <w:szCs w:val="24"/>
      <w:lang w:val="zh-CN" w:bidi="zh-CN"/>
    </w:rPr>
  </w:style>
  <w:style w:type="paragraph" w:customStyle="1" w:styleId="34">
    <w:name w:val="p0"/>
    <w:basedOn w:val="1"/>
    <w:pPr>
      <w:widowControl/>
      <w:spacing w:before="100" w:beforeAutospacing="1" w:after="100" w:afterAutospacing="1"/>
      <w:jc w:val="left"/>
    </w:pPr>
    <w:rPr>
      <w:rFonts w:ascii="宋体" w:hAnsi="宋体" w:cs="宋体"/>
      <w:kern w:val="0"/>
      <w:sz w:val="24"/>
      <w:szCs w:val="24"/>
    </w:rPr>
  </w:style>
  <w:style w:type="character" w:customStyle="1" w:styleId="35">
    <w:name w:val="批注文字 Char1"/>
    <w:rPr>
      <w:rFonts w:cs="Calibri"/>
      <w:kern w:val="2"/>
      <w:sz w:val="21"/>
      <w:szCs w:val="21"/>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6</Pages>
  <Words>299</Words>
  <Characters>1705</Characters>
  <Lines>14</Lines>
  <Paragraphs>3</Paragraphs>
  <TotalTime>0</TotalTime>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2020-11-13T16:05:00Z</dcterms:created>
  <dc:creator>Administrator</dc:creator>
  <cp:lastPrinted>2020-10-29T15:33:00Z</cp:lastPrinted>
  <dcterms:modified xsi:type="dcterms:W3CDTF">2020-11-13T16:32:37Z</dcterms:modified>
  <dc:title>豫知函〔2016〕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